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a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1"/>
      <w:bookmarkEnd w:id="1"/>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sz w:val="24"/>
          <w:szCs w:val="24"/>
          <w:rtl w:val="0"/>
        </w:rPr>
        <w:t xml:space="preserve">Any convictions relating to the validity of the Security Clearance required to perform the contract. Any staff working on the contract are to abide by the national security vetting aftercare arrangements, and are suitable to hold these clearances.</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QfjLc43I6ZrZCKZGf78O5YdHmw==">CgMxLjAyCWguM3pueXNoNzIIaC5namRneHMyCWguMzBqMHpsbDIJaC4xZm9iOXRlMgppZC4yZXQ5MnAwOABqJQoUc3VnZ2VzdC4xNDE2bjF4OXZnYWQSDU1hcmsgQ3VubGlmZmVqJgoUc3VnZ2VzdC5hNHNycWF2cHM2cTMSDk1pY2hhZWwgQm93Z2VuciExc0VadnZNVzZjaEUtNWY1ME1ReUY5WS0wVndaVnZOdFc=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2022-10-11T15:40:00Z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